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B95" w:rsidRPr="00CB4B95" w:rsidRDefault="00CB4B95" w:rsidP="00CB4B95">
      <w:pPr>
        <w:spacing w:before="100" w:beforeAutospacing="1" w:after="100" w:afterAutospacing="1" w:line="240" w:lineRule="auto"/>
        <w:outlineLvl w:val="1"/>
        <w:rPr>
          <w:rFonts w:ascii="Times New Roman" w:eastAsia="Times New Roman" w:hAnsi="Times New Roman" w:cs="Times New Roman"/>
          <w:b/>
          <w:lang w:eastAsia="de-DE"/>
        </w:rPr>
      </w:pPr>
      <w:r w:rsidRPr="00CB4B95">
        <w:rPr>
          <w:rFonts w:ascii="Times New Roman" w:eastAsia="Times New Roman" w:hAnsi="Times New Roman" w:cs="Times New Roman"/>
          <w:b/>
          <w:lang w:eastAsia="de-DE"/>
        </w:rPr>
        <w:t>Alternativer Nachweis eines KfW-Effizienzhaus 55 nach Referenzwerten</w:t>
      </w:r>
    </w:p>
    <w:p w:rsidR="00CB4B95" w:rsidRPr="00CB4B95" w:rsidRDefault="00CB4B95" w:rsidP="00CB4B95">
      <w:pPr>
        <w:spacing w:before="100" w:beforeAutospacing="1" w:after="100" w:afterAutospacing="1" w:line="240" w:lineRule="auto"/>
        <w:rPr>
          <w:rFonts w:ascii="Times New Roman" w:eastAsia="Times New Roman" w:hAnsi="Times New Roman" w:cs="Times New Roman"/>
          <w:lang w:eastAsia="de-DE"/>
        </w:rPr>
      </w:pPr>
      <w:r w:rsidRPr="00CB4B95">
        <w:rPr>
          <w:rFonts w:ascii="Times New Roman" w:eastAsia="Times New Roman" w:hAnsi="Times New Roman" w:cs="Times New Roman"/>
          <w:lang w:eastAsia="de-DE"/>
        </w:rPr>
        <w:t>Die Anforderungen an ein KfW-Effizienzhaus 55 werden erfüllt, wenn die nachfolgend genannten baulichen und anlagentechnischen Anforderungen (Referenzwerte) umgesetzt werden. In diesem Fall ist ein rechnerischer Nachweis für das KfW-Effizienzhaus 55 nicht erforderlich.</w:t>
      </w:r>
    </w:p>
    <w:p w:rsidR="00CB4B95" w:rsidRPr="00CB4B95" w:rsidRDefault="00CB4B95" w:rsidP="00CB4B95">
      <w:pPr>
        <w:spacing w:before="100" w:beforeAutospacing="1" w:after="100" w:afterAutospacing="1" w:line="240" w:lineRule="auto"/>
        <w:rPr>
          <w:rFonts w:ascii="Times New Roman" w:eastAsia="Times New Roman" w:hAnsi="Times New Roman" w:cs="Times New Roman"/>
          <w:lang w:eastAsia="de-DE"/>
        </w:rPr>
      </w:pPr>
      <w:r w:rsidRPr="00CB4B95">
        <w:rPr>
          <w:rFonts w:ascii="Times New Roman" w:eastAsia="Times New Roman" w:hAnsi="Times New Roman" w:cs="Times New Roman"/>
          <w:lang w:eastAsia="de-DE"/>
        </w:rPr>
        <w:t>1.) Folgende Anforderungen an die jeweiligen einzelnen Bauteile der thermischen Gebäudehülle müssen eingehalten werden. Die Anforderungen an die Ausführung von Wärmebrücken sowie an die Luftdichtheit der Gebäudehülle müssen eingehalten werden.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68"/>
        <w:gridCol w:w="904"/>
      </w:tblGrid>
      <w:tr w:rsidR="00CB4B95" w:rsidRPr="00CB4B95" w:rsidTr="00CB4B95">
        <w:trPr>
          <w:tblHeader/>
          <w:tblCellSpacing w:w="15" w:type="dxa"/>
        </w:trPr>
        <w:tc>
          <w:tcPr>
            <w:tcW w:w="3500" w:type="pct"/>
            <w:vAlign w:val="center"/>
            <w:hideMark/>
          </w:tcPr>
          <w:p w:rsidR="00CB4B95" w:rsidRPr="00C87810" w:rsidRDefault="00CB4B95" w:rsidP="00CB4B95">
            <w:pPr>
              <w:spacing w:after="0" w:line="240" w:lineRule="auto"/>
              <w:rPr>
                <w:rFonts w:ascii="Times New Roman" w:eastAsia="Times New Roman" w:hAnsi="Times New Roman" w:cs="Times New Roman"/>
                <w:highlight w:val="red"/>
                <w:lang w:eastAsia="de-DE"/>
              </w:rPr>
            </w:pPr>
            <w:r w:rsidRPr="00C87810">
              <w:rPr>
                <w:rFonts w:ascii="Times New Roman" w:eastAsia="Times New Roman" w:hAnsi="Times New Roman" w:cs="Times New Roman"/>
                <w:highlight w:val="red"/>
                <w:lang w:eastAsia="de-DE"/>
              </w:rPr>
              <w:t>Dachflächen, oberste Geschossdecke, Dachgauben</w:t>
            </w:r>
          </w:p>
        </w:tc>
        <w:tc>
          <w:tcPr>
            <w:tcW w:w="0" w:type="auto"/>
            <w:vAlign w:val="center"/>
            <w:hideMark/>
          </w:tcPr>
          <w:p w:rsidR="00CB4B95" w:rsidRPr="00C87810" w:rsidRDefault="00CB4B95" w:rsidP="00CB4B95">
            <w:pPr>
              <w:spacing w:after="0" w:line="240" w:lineRule="auto"/>
              <w:rPr>
                <w:rFonts w:ascii="Times New Roman" w:eastAsia="Times New Roman" w:hAnsi="Times New Roman" w:cs="Times New Roman"/>
                <w:highlight w:val="red"/>
                <w:lang w:eastAsia="de-DE"/>
              </w:rPr>
            </w:pPr>
            <w:r w:rsidRPr="00C87810">
              <w:rPr>
                <w:rFonts w:ascii="Times New Roman" w:eastAsia="Times New Roman" w:hAnsi="Times New Roman" w:cs="Times New Roman"/>
                <w:highlight w:val="red"/>
                <w:lang w:eastAsia="de-DE"/>
              </w:rPr>
              <w:t>U ≤ 0,14 W/(m²·K)</w:t>
            </w:r>
          </w:p>
        </w:tc>
      </w:tr>
      <w:tr w:rsidR="00CB4B95" w:rsidRPr="00CB4B95" w:rsidTr="00CB4B95">
        <w:trPr>
          <w:tblCellSpacing w:w="15" w:type="dxa"/>
        </w:trPr>
        <w:tc>
          <w:tcPr>
            <w:tcW w:w="3500" w:type="pct"/>
            <w:vAlign w:val="center"/>
            <w:hideMark/>
          </w:tcPr>
          <w:p w:rsidR="00CB4B95" w:rsidRPr="00C87810" w:rsidRDefault="00CB4B95" w:rsidP="00CB4B95">
            <w:pPr>
              <w:spacing w:after="0" w:line="240" w:lineRule="auto"/>
              <w:rPr>
                <w:rFonts w:ascii="Times New Roman" w:eastAsia="Times New Roman" w:hAnsi="Times New Roman" w:cs="Times New Roman"/>
                <w:highlight w:val="red"/>
                <w:lang w:eastAsia="de-DE"/>
              </w:rPr>
            </w:pPr>
            <w:r w:rsidRPr="00C87810">
              <w:rPr>
                <w:rFonts w:ascii="Times New Roman" w:eastAsia="Times New Roman" w:hAnsi="Times New Roman" w:cs="Times New Roman"/>
                <w:highlight w:val="red"/>
                <w:lang w:eastAsia="de-DE"/>
              </w:rPr>
              <w:t>Fenster und sonstige transparente Bauteile</w:t>
            </w:r>
          </w:p>
        </w:tc>
        <w:tc>
          <w:tcPr>
            <w:tcW w:w="0" w:type="auto"/>
            <w:vAlign w:val="center"/>
            <w:hideMark/>
          </w:tcPr>
          <w:p w:rsidR="00CB4B95" w:rsidRPr="00C87810" w:rsidRDefault="00CB4B95" w:rsidP="00CB4B95">
            <w:pPr>
              <w:spacing w:after="0" w:line="240" w:lineRule="auto"/>
              <w:rPr>
                <w:rFonts w:ascii="Times New Roman" w:eastAsia="Times New Roman" w:hAnsi="Times New Roman" w:cs="Times New Roman"/>
                <w:highlight w:val="red"/>
                <w:lang w:eastAsia="de-DE"/>
              </w:rPr>
            </w:pPr>
            <w:proofErr w:type="spellStart"/>
            <w:r w:rsidRPr="00C87810">
              <w:rPr>
                <w:rFonts w:ascii="Times New Roman" w:eastAsia="Times New Roman" w:hAnsi="Times New Roman" w:cs="Times New Roman"/>
                <w:highlight w:val="red"/>
                <w:lang w:eastAsia="de-DE"/>
              </w:rPr>
              <w:t>Uw</w:t>
            </w:r>
            <w:proofErr w:type="spellEnd"/>
            <w:r w:rsidRPr="00C87810">
              <w:rPr>
                <w:rFonts w:ascii="Times New Roman" w:eastAsia="Times New Roman" w:hAnsi="Times New Roman" w:cs="Times New Roman"/>
                <w:highlight w:val="red"/>
                <w:lang w:eastAsia="de-DE"/>
              </w:rPr>
              <w:t xml:space="preserve"> ≤ 0,90 W/(m²·K)</w:t>
            </w:r>
          </w:p>
        </w:tc>
      </w:tr>
      <w:tr w:rsidR="00CB4B95" w:rsidRPr="00CB4B95" w:rsidTr="00CB4B95">
        <w:trPr>
          <w:tblCellSpacing w:w="15" w:type="dxa"/>
        </w:trPr>
        <w:tc>
          <w:tcPr>
            <w:tcW w:w="3500" w:type="pct"/>
            <w:vAlign w:val="center"/>
            <w:hideMark/>
          </w:tcPr>
          <w:p w:rsidR="00CB4B95" w:rsidRPr="00C87810" w:rsidRDefault="00CB4B95" w:rsidP="00CB4B95">
            <w:pPr>
              <w:spacing w:after="0" w:line="240" w:lineRule="auto"/>
              <w:rPr>
                <w:rFonts w:ascii="Times New Roman" w:eastAsia="Times New Roman" w:hAnsi="Times New Roman" w:cs="Times New Roman"/>
                <w:highlight w:val="red"/>
                <w:lang w:eastAsia="de-DE"/>
              </w:rPr>
            </w:pPr>
            <w:r w:rsidRPr="00C87810">
              <w:rPr>
                <w:rFonts w:ascii="Times New Roman" w:eastAsia="Times New Roman" w:hAnsi="Times New Roman" w:cs="Times New Roman"/>
                <w:highlight w:val="red"/>
                <w:lang w:eastAsia="de-DE"/>
              </w:rPr>
              <w:t>Außenwände, Geschossdecken nach unten gegen Außenluft</w:t>
            </w:r>
          </w:p>
        </w:tc>
        <w:tc>
          <w:tcPr>
            <w:tcW w:w="0" w:type="auto"/>
            <w:vAlign w:val="center"/>
            <w:hideMark/>
          </w:tcPr>
          <w:p w:rsidR="00CB4B95" w:rsidRPr="00C87810" w:rsidRDefault="00CB4B95" w:rsidP="00CB4B95">
            <w:pPr>
              <w:spacing w:after="0" w:line="240" w:lineRule="auto"/>
              <w:rPr>
                <w:rFonts w:ascii="Times New Roman" w:eastAsia="Times New Roman" w:hAnsi="Times New Roman" w:cs="Times New Roman"/>
                <w:highlight w:val="red"/>
                <w:lang w:eastAsia="de-DE"/>
              </w:rPr>
            </w:pPr>
            <w:r w:rsidRPr="00C87810">
              <w:rPr>
                <w:rFonts w:ascii="Times New Roman" w:eastAsia="Times New Roman" w:hAnsi="Times New Roman" w:cs="Times New Roman"/>
                <w:highlight w:val="red"/>
                <w:lang w:eastAsia="de-DE"/>
              </w:rPr>
              <w:t>U ≤ 0,20 W/(m²·K)</w:t>
            </w:r>
          </w:p>
        </w:tc>
      </w:tr>
      <w:bookmarkStart w:id="0" w:name="_MON_1530264181"/>
      <w:bookmarkEnd w:id="0"/>
      <w:tr w:rsidR="00A16871" w:rsidRPr="00CB4B95" w:rsidTr="00CB4B95">
        <w:trPr>
          <w:tblCellSpacing w:w="15" w:type="dxa"/>
        </w:trPr>
        <w:tc>
          <w:tcPr>
            <w:tcW w:w="3500" w:type="pct"/>
            <w:vAlign w:val="center"/>
          </w:tcPr>
          <w:p w:rsidR="00A16871" w:rsidRPr="00C87810" w:rsidRDefault="00A16871" w:rsidP="00CB4B95">
            <w:pPr>
              <w:spacing w:after="0" w:line="240" w:lineRule="auto"/>
              <w:rPr>
                <w:rFonts w:ascii="Times New Roman" w:eastAsia="Times New Roman" w:hAnsi="Times New Roman" w:cs="Times New Roman"/>
                <w:highlight w:val="red"/>
                <w:lang w:eastAsia="de-DE"/>
              </w:rPr>
            </w:pPr>
            <w:r>
              <w:rPr>
                <w:rFonts w:ascii="Times New Roman" w:eastAsia="Times New Roman" w:hAnsi="Times New Roman" w:cs="Times New Roman"/>
                <w:highlight w:val="red"/>
                <w:lang w:eastAsia="de-DE"/>
              </w:rPr>
              <w:object w:dxaOrig="8643" w:dyaOrig="3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69.8pt" o:ole="">
                  <v:imagedata r:id="rId5" o:title=""/>
                </v:shape>
                <o:OLEObject Type="Embed" ProgID="Excel.Sheet.12" ShapeID="_x0000_i1025" DrawAspect="Content" ObjectID="_1530264276" r:id="rId6"/>
              </w:object>
            </w:r>
            <w:bookmarkStart w:id="1" w:name="_GoBack"/>
            <w:bookmarkEnd w:id="1"/>
          </w:p>
        </w:tc>
        <w:tc>
          <w:tcPr>
            <w:tcW w:w="0" w:type="auto"/>
            <w:vAlign w:val="center"/>
          </w:tcPr>
          <w:p w:rsidR="00A16871" w:rsidRPr="00C87810" w:rsidRDefault="00A16871" w:rsidP="00CB4B95">
            <w:pPr>
              <w:spacing w:after="0" w:line="240" w:lineRule="auto"/>
              <w:rPr>
                <w:rFonts w:ascii="Times New Roman" w:eastAsia="Times New Roman" w:hAnsi="Times New Roman" w:cs="Times New Roman"/>
                <w:highlight w:val="red"/>
                <w:lang w:eastAsia="de-DE"/>
              </w:rPr>
            </w:pPr>
          </w:p>
        </w:tc>
      </w:tr>
      <w:tr w:rsidR="00CB4B95" w:rsidRPr="00CB4B95" w:rsidTr="00CB4B95">
        <w:trPr>
          <w:tblCellSpacing w:w="15" w:type="dxa"/>
        </w:trPr>
        <w:tc>
          <w:tcPr>
            <w:tcW w:w="3500" w:type="pct"/>
            <w:vAlign w:val="center"/>
            <w:hideMark/>
          </w:tcPr>
          <w:p w:rsidR="00CB4B95" w:rsidRPr="00C87810" w:rsidRDefault="00CB4B95" w:rsidP="00CB4B95">
            <w:pPr>
              <w:spacing w:after="0" w:line="240" w:lineRule="auto"/>
              <w:rPr>
                <w:rFonts w:ascii="Times New Roman" w:eastAsia="Times New Roman" w:hAnsi="Times New Roman" w:cs="Times New Roman"/>
                <w:highlight w:val="red"/>
                <w:lang w:eastAsia="de-DE"/>
              </w:rPr>
            </w:pPr>
            <w:r w:rsidRPr="00C87810">
              <w:rPr>
                <w:rFonts w:ascii="Times New Roman" w:eastAsia="Times New Roman" w:hAnsi="Times New Roman" w:cs="Times New Roman"/>
                <w:highlight w:val="red"/>
                <w:lang w:eastAsia="de-DE"/>
              </w:rPr>
              <w:t>Sonstige opake Bauteile (Kellerdecken, Wände und Decken zu unbeheizten Räumen, Wand- und Bodenflächen gegen Erdreich etc.)</w:t>
            </w:r>
          </w:p>
        </w:tc>
        <w:tc>
          <w:tcPr>
            <w:tcW w:w="0" w:type="auto"/>
            <w:vAlign w:val="center"/>
            <w:hideMark/>
          </w:tcPr>
          <w:p w:rsidR="00CB4B95" w:rsidRPr="00C87810" w:rsidRDefault="00CB4B95" w:rsidP="00CB4B95">
            <w:pPr>
              <w:spacing w:after="0" w:line="240" w:lineRule="auto"/>
              <w:rPr>
                <w:rFonts w:ascii="Times New Roman" w:eastAsia="Times New Roman" w:hAnsi="Times New Roman" w:cs="Times New Roman"/>
                <w:highlight w:val="red"/>
                <w:lang w:eastAsia="de-DE"/>
              </w:rPr>
            </w:pPr>
            <w:r w:rsidRPr="00C87810">
              <w:rPr>
                <w:rFonts w:ascii="Times New Roman" w:eastAsia="Times New Roman" w:hAnsi="Times New Roman" w:cs="Times New Roman"/>
                <w:highlight w:val="red"/>
                <w:lang w:eastAsia="de-DE"/>
              </w:rPr>
              <w:t>U ≤ 0,25 W/(m²·K)</w:t>
            </w:r>
          </w:p>
        </w:tc>
      </w:tr>
      <w:tr w:rsidR="00CB4B95" w:rsidRPr="00CB4B95" w:rsidTr="00CB4B95">
        <w:trPr>
          <w:tblCellSpacing w:w="15" w:type="dxa"/>
        </w:trPr>
        <w:tc>
          <w:tcPr>
            <w:tcW w:w="3500" w:type="pct"/>
            <w:vAlign w:val="center"/>
            <w:hideMark/>
          </w:tcPr>
          <w:p w:rsidR="00CB4B95" w:rsidRPr="00C87810" w:rsidRDefault="00CB4B95" w:rsidP="00CB4B95">
            <w:pPr>
              <w:spacing w:after="0" w:line="240" w:lineRule="auto"/>
              <w:rPr>
                <w:rFonts w:ascii="Times New Roman" w:eastAsia="Times New Roman" w:hAnsi="Times New Roman" w:cs="Times New Roman"/>
                <w:highlight w:val="red"/>
                <w:lang w:eastAsia="de-DE"/>
              </w:rPr>
            </w:pPr>
            <w:r w:rsidRPr="00C87810">
              <w:rPr>
                <w:rFonts w:ascii="Times New Roman" w:eastAsia="Times New Roman" w:hAnsi="Times New Roman" w:cs="Times New Roman"/>
                <w:highlight w:val="red"/>
                <w:lang w:eastAsia="de-DE"/>
              </w:rPr>
              <w:t>Türen (Keller- und Außentüren)</w:t>
            </w:r>
          </w:p>
        </w:tc>
        <w:tc>
          <w:tcPr>
            <w:tcW w:w="0" w:type="auto"/>
            <w:vAlign w:val="center"/>
            <w:hideMark/>
          </w:tcPr>
          <w:p w:rsidR="00CB4B95" w:rsidRPr="00C87810" w:rsidRDefault="00CB4B95" w:rsidP="00CB4B95">
            <w:pPr>
              <w:spacing w:after="0" w:line="240" w:lineRule="auto"/>
              <w:rPr>
                <w:rFonts w:ascii="Times New Roman" w:eastAsia="Times New Roman" w:hAnsi="Times New Roman" w:cs="Times New Roman"/>
                <w:highlight w:val="red"/>
                <w:lang w:eastAsia="de-DE"/>
              </w:rPr>
            </w:pPr>
            <w:r w:rsidRPr="00C87810">
              <w:rPr>
                <w:rFonts w:ascii="Times New Roman" w:eastAsia="Times New Roman" w:hAnsi="Times New Roman" w:cs="Times New Roman"/>
                <w:highlight w:val="red"/>
                <w:lang w:eastAsia="de-DE"/>
              </w:rPr>
              <w:t>UD ≤ 1,2 W/(m²·K)</w:t>
            </w:r>
          </w:p>
        </w:tc>
      </w:tr>
      <w:tr w:rsidR="00CB4B95" w:rsidRPr="00CB4B95" w:rsidTr="00CB4B95">
        <w:trPr>
          <w:tblCellSpacing w:w="15" w:type="dxa"/>
        </w:trPr>
        <w:tc>
          <w:tcPr>
            <w:tcW w:w="3500" w:type="pct"/>
            <w:vAlign w:val="center"/>
            <w:hideMark/>
          </w:tcPr>
          <w:p w:rsidR="00CB4B95" w:rsidRPr="00C87810" w:rsidRDefault="00CB4B95" w:rsidP="00CB4B95">
            <w:pPr>
              <w:spacing w:after="0" w:line="240" w:lineRule="auto"/>
              <w:rPr>
                <w:rFonts w:ascii="Times New Roman" w:eastAsia="Times New Roman" w:hAnsi="Times New Roman" w:cs="Times New Roman"/>
                <w:highlight w:val="red"/>
                <w:lang w:eastAsia="de-DE"/>
              </w:rPr>
            </w:pPr>
            <w:r w:rsidRPr="00C87810">
              <w:rPr>
                <w:rFonts w:ascii="Times New Roman" w:eastAsia="Times New Roman" w:hAnsi="Times New Roman" w:cs="Times New Roman"/>
                <w:highlight w:val="red"/>
                <w:lang w:eastAsia="de-DE"/>
              </w:rPr>
              <w:t>Vermeidung von Wärmebrücken</w:t>
            </w:r>
          </w:p>
        </w:tc>
        <w:tc>
          <w:tcPr>
            <w:tcW w:w="0" w:type="auto"/>
            <w:vAlign w:val="center"/>
            <w:hideMark/>
          </w:tcPr>
          <w:p w:rsidR="00CB4B95" w:rsidRPr="00C87810" w:rsidRDefault="00CB4B95" w:rsidP="00CB4B95">
            <w:pPr>
              <w:spacing w:after="0" w:line="240" w:lineRule="auto"/>
              <w:rPr>
                <w:rFonts w:ascii="Times New Roman" w:eastAsia="Times New Roman" w:hAnsi="Times New Roman" w:cs="Times New Roman"/>
                <w:highlight w:val="red"/>
                <w:lang w:eastAsia="de-DE"/>
              </w:rPr>
            </w:pPr>
            <w:r w:rsidRPr="00C87810">
              <w:rPr>
                <w:rFonts w:ascii="Times New Roman" w:eastAsia="Times New Roman" w:hAnsi="Times New Roman" w:cs="Times New Roman"/>
                <w:highlight w:val="red"/>
                <w:lang w:eastAsia="de-DE"/>
              </w:rPr>
              <w:t>ΔUWB ≤ 0,035 W/(m²·K)</w:t>
            </w:r>
          </w:p>
        </w:tc>
      </w:tr>
      <w:tr w:rsidR="00CB4B95" w:rsidRPr="00CB4B95" w:rsidTr="00CB4B95">
        <w:trPr>
          <w:tblCellSpacing w:w="15" w:type="dxa"/>
        </w:trPr>
        <w:tc>
          <w:tcPr>
            <w:tcW w:w="3500" w:type="pct"/>
            <w:vAlign w:val="center"/>
            <w:hideMark/>
          </w:tcPr>
          <w:p w:rsidR="00CB4B95" w:rsidRPr="00C87810" w:rsidRDefault="00CB4B95" w:rsidP="00CB4B95">
            <w:pPr>
              <w:spacing w:after="0" w:line="240" w:lineRule="auto"/>
              <w:rPr>
                <w:rFonts w:ascii="Times New Roman" w:eastAsia="Times New Roman" w:hAnsi="Times New Roman" w:cs="Times New Roman"/>
                <w:highlight w:val="red"/>
                <w:lang w:eastAsia="de-DE"/>
              </w:rPr>
            </w:pPr>
            <w:r w:rsidRPr="00C87810">
              <w:rPr>
                <w:rFonts w:ascii="Times New Roman" w:eastAsia="Times New Roman" w:hAnsi="Times New Roman" w:cs="Times New Roman"/>
                <w:highlight w:val="red"/>
                <w:lang w:eastAsia="de-DE"/>
              </w:rPr>
              <w:t>Luftdichtheit der Gebäudehülle</w:t>
            </w:r>
          </w:p>
        </w:tc>
        <w:tc>
          <w:tcPr>
            <w:tcW w:w="0" w:type="auto"/>
            <w:vAlign w:val="center"/>
            <w:hideMark/>
          </w:tcPr>
          <w:p w:rsidR="00CB4B95" w:rsidRPr="00C87810" w:rsidRDefault="00CB4B95" w:rsidP="00CB4B95">
            <w:pPr>
              <w:spacing w:after="0" w:line="240" w:lineRule="auto"/>
              <w:rPr>
                <w:rFonts w:ascii="Times New Roman" w:eastAsia="Times New Roman" w:hAnsi="Times New Roman" w:cs="Times New Roman"/>
                <w:highlight w:val="red"/>
                <w:lang w:eastAsia="de-DE"/>
              </w:rPr>
            </w:pPr>
            <w:r w:rsidRPr="00C87810">
              <w:rPr>
                <w:rFonts w:ascii="Times New Roman" w:eastAsia="Times New Roman" w:hAnsi="Times New Roman" w:cs="Times New Roman"/>
                <w:highlight w:val="red"/>
                <w:lang w:eastAsia="de-DE"/>
              </w:rPr>
              <w:t>n50 ≤ 1,5 h-1</w:t>
            </w:r>
          </w:p>
        </w:tc>
      </w:tr>
    </w:tbl>
    <w:p w:rsidR="00CB4B95" w:rsidRPr="00CB4B95" w:rsidRDefault="00CB4B95" w:rsidP="00CB4B95">
      <w:pPr>
        <w:spacing w:before="100" w:beforeAutospacing="1" w:after="100" w:afterAutospacing="1" w:line="240" w:lineRule="auto"/>
        <w:rPr>
          <w:rFonts w:ascii="Times New Roman" w:eastAsia="Times New Roman" w:hAnsi="Times New Roman" w:cs="Times New Roman"/>
          <w:lang w:eastAsia="de-DE"/>
        </w:rPr>
      </w:pPr>
      <w:r w:rsidRPr="00CB4B95">
        <w:rPr>
          <w:rFonts w:ascii="Times New Roman" w:eastAsia="Times New Roman" w:hAnsi="Times New Roman" w:cs="Times New Roman"/>
          <w:lang w:eastAsia="de-DE"/>
        </w:rPr>
        <w:t xml:space="preserve">2.) Für die Anlagentechnik ist eines der 6 nachfolgenden Anlagenkonzepte umzusetzen. Der </w:t>
      </w:r>
      <w:r w:rsidRPr="00C87810">
        <w:rPr>
          <w:rFonts w:ascii="Times New Roman" w:eastAsia="Times New Roman" w:hAnsi="Times New Roman" w:cs="Times New Roman"/>
          <w:highlight w:val="red"/>
          <w:lang w:eastAsia="de-DE"/>
        </w:rPr>
        <w:t>Aufstellungsort des Wärmeerzeugers bzw. der Wärmeübergabestation muss innerhalb der thermischen Gebäudehülle liegen</w:t>
      </w:r>
      <w:r w:rsidRPr="00C87810">
        <w:rPr>
          <w:rFonts w:ascii="Times New Roman" w:eastAsia="Times New Roman" w:hAnsi="Times New Roman" w:cs="Times New Roman"/>
          <w:lang w:eastAsia="de-DE"/>
        </w:rPr>
        <w:t xml:space="preserve"> </w:t>
      </w:r>
      <w:r w:rsidRPr="00CB4B95">
        <w:rPr>
          <w:rFonts w:ascii="Times New Roman" w:eastAsia="Times New Roman" w:hAnsi="Times New Roman" w:cs="Times New Roman"/>
          <w:lang w:eastAsia="de-DE"/>
        </w:rPr>
        <w:t>und es muss eine zentrale Trinkwarmwasser-Bereitung vorhanden sein. Eine Trinkwarmwasserzirkulation ist zulässig.</w:t>
      </w:r>
    </w:p>
    <w:p w:rsidR="00CB4B95" w:rsidRPr="00CB4B95" w:rsidRDefault="00CB4B95" w:rsidP="00CB4B95">
      <w:pPr>
        <w:numPr>
          <w:ilvl w:val="0"/>
          <w:numId w:val="3"/>
        </w:numPr>
        <w:spacing w:before="100" w:beforeAutospacing="1" w:after="100" w:afterAutospacing="1" w:line="240" w:lineRule="auto"/>
        <w:rPr>
          <w:rFonts w:ascii="Times New Roman" w:eastAsia="Times New Roman" w:hAnsi="Times New Roman" w:cs="Times New Roman"/>
          <w:lang w:eastAsia="de-DE"/>
        </w:rPr>
      </w:pPr>
      <w:r w:rsidRPr="00C87810">
        <w:rPr>
          <w:rFonts w:ascii="Times New Roman" w:eastAsia="Times New Roman" w:hAnsi="Times New Roman" w:cs="Times New Roman"/>
          <w:highlight w:val="red"/>
          <w:lang w:eastAsia="de-DE"/>
        </w:rPr>
        <w:lastRenderedPageBreak/>
        <w:t>Brennwertkessel, solare Trinkwarmwasser-</w:t>
      </w:r>
      <w:r w:rsidRPr="00CB4B95">
        <w:rPr>
          <w:rFonts w:ascii="Times New Roman" w:eastAsia="Times New Roman" w:hAnsi="Times New Roman" w:cs="Times New Roman"/>
          <w:lang w:eastAsia="de-DE"/>
        </w:rPr>
        <w:t xml:space="preserve">Bereitung (Standardwerte nach DIN V 4701-10), zentrale </w:t>
      </w:r>
      <w:r w:rsidRPr="00C87810">
        <w:rPr>
          <w:rFonts w:ascii="Times New Roman" w:eastAsia="Times New Roman" w:hAnsi="Times New Roman" w:cs="Times New Roman"/>
          <w:highlight w:val="red"/>
          <w:lang w:eastAsia="de-DE"/>
        </w:rPr>
        <w:t>Lüftungsanlage</w:t>
      </w:r>
      <w:r w:rsidRPr="00CB4B95">
        <w:rPr>
          <w:rFonts w:ascii="Times New Roman" w:eastAsia="Times New Roman" w:hAnsi="Times New Roman" w:cs="Times New Roman"/>
          <w:lang w:eastAsia="de-DE"/>
        </w:rPr>
        <w:t xml:space="preserve"> mit Wärmerückgewinnung (Wärmebereitstellungsgrad &gt; 80 %)</w:t>
      </w:r>
    </w:p>
    <w:p w:rsidR="00CB4B95" w:rsidRPr="00CB4B95" w:rsidRDefault="00CB4B95" w:rsidP="00CB4B95">
      <w:pPr>
        <w:numPr>
          <w:ilvl w:val="0"/>
          <w:numId w:val="3"/>
        </w:numPr>
        <w:spacing w:before="100" w:beforeAutospacing="1" w:after="100" w:afterAutospacing="1" w:line="240" w:lineRule="auto"/>
        <w:rPr>
          <w:rFonts w:ascii="Times New Roman" w:eastAsia="Times New Roman" w:hAnsi="Times New Roman" w:cs="Times New Roman"/>
          <w:lang w:eastAsia="de-DE"/>
        </w:rPr>
      </w:pPr>
      <w:r w:rsidRPr="00CB4B95">
        <w:rPr>
          <w:rFonts w:ascii="Times New Roman" w:eastAsia="Times New Roman" w:hAnsi="Times New Roman" w:cs="Times New Roman"/>
          <w:lang w:eastAsia="de-DE"/>
        </w:rPr>
        <w:t xml:space="preserve">Fernwärme mit zertifiziertem Primärenergiefaktor </w:t>
      </w:r>
      <w:proofErr w:type="spellStart"/>
      <w:r w:rsidRPr="00CB4B95">
        <w:rPr>
          <w:rFonts w:ascii="Times New Roman" w:eastAsia="Times New Roman" w:hAnsi="Times New Roman" w:cs="Times New Roman"/>
          <w:lang w:eastAsia="de-DE"/>
        </w:rPr>
        <w:t>fp</w:t>
      </w:r>
      <w:proofErr w:type="spellEnd"/>
      <w:r w:rsidRPr="00CB4B95">
        <w:rPr>
          <w:rFonts w:ascii="Times New Roman" w:eastAsia="Times New Roman" w:hAnsi="Times New Roman" w:cs="Times New Roman"/>
          <w:lang w:eastAsia="de-DE"/>
        </w:rPr>
        <w:t xml:space="preserve"> ≤ 0,7, zentrale Lüftungsanlage mit Wärmerückgewinnung (Wärmebereitstellungsgrad &gt; 80 %)</w:t>
      </w:r>
    </w:p>
    <w:p w:rsidR="00CB4B95" w:rsidRPr="00CB4B95" w:rsidRDefault="00CB4B95" w:rsidP="00CB4B95">
      <w:pPr>
        <w:numPr>
          <w:ilvl w:val="0"/>
          <w:numId w:val="3"/>
        </w:numPr>
        <w:spacing w:before="100" w:beforeAutospacing="1" w:after="100" w:afterAutospacing="1" w:line="240" w:lineRule="auto"/>
        <w:rPr>
          <w:rFonts w:ascii="Times New Roman" w:eastAsia="Times New Roman" w:hAnsi="Times New Roman" w:cs="Times New Roman"/>
          <w:lang w:eastAsia="de-DE"/>
        </w:rPr>
      </w:pPr>
      <w:r w:rsidRPr="00CB4B95">
        <w:rPr>
          <w:rFonts w:ascii="Times New Roman" w:eastAsia="Times New Roman" w:hAnsi="Times New Roman" w:cs="Times New Roman"/>
          <w:lang w:eastAsia="de-DE"/>
        </w:rPr>
        <w:t>Zentrale Biomasse-Heizungsanlage auf Basis von Holzpellets, Hackschnitzel oder Scheitholz, zentrale Abluftanlage</w:t>
      </w:r>
    </w:p>
    <w:p w:rsidR="00CB4B95" w:rsidRPr="00CB4B95" w:rsidRDefault="00CB4B95" w:rsidP="00CB4B95">
      <w:pPr>
        <w:numPr>
          <w:ilvl w:val="0"/>
          <w:numId w:val="3"/>
        </w:numPr>
        <w:spacing w:before="100" w:beforeAutospacing="1" w:after="100" w:afterAutospacing="1" w:line="240" w:lineRule="auto"/>
        <w:rPr>
          <w:rFonts w:ascii="Times New Roman" w:eastAsia="Times New Roman" w:hAnsi="Times New Roman" w:cs="Times New Roman"/>
          <w:lang w:eastAsia="de-DE"/>
        </w:rPr>
      </w:pPr>
      <w:r w:rsidRPr="00CB4B95">
        <w:rPr>
          <w:rFonts w:ascii="Times New Roman" w:eastAsia="Times New Roman" w:hAnsi="Times New Roman" w:cs="Times New Roman"/>
          <w:lang w:eastAsia="de-DE"/>
        </w:rPr>
        <w:t>Sole-Wasser Wärmepumpe mit Flächenheizsystem zur Wärmeübergabe, zentrale Abluftanlage</w:t>
      </w:r>
    </w:p>
    <w:p w:rsidR="00CB4B95" w:rsidRPr="00CB4B95" w:rsidRDefault="00CB4B95" w:rsidP="00CB4B95">
      <w:pPr>
        <w:numPr>
          <w:ilvl w:val="0"/>
          <w:numId w:val="3"/>
        </w:numPr>
        <w:spacing w:before="100" w:beforeAutospacing="1" w:after="100" w:afterAutospacing="1" w:line="240" w:lineRule="auto"/>
        <w:rPr>
          <w:rFonts w:ascii="Times New Roman" w:eastAsia="Times New Roman" w:hAnsi="Times New Roman" w:cs="Times New Roman"/>
          <w:lang w:eastAsia="de-DE"/>
        </w:rPr>
      </w:pPr>
      <w:r w:rsidRPr="00CB4B95">
        <w:rPr>
          <w:rFonts w:ascii="Times New Roman" w:eastAsia="Times New Roman" w:hAnsi="Times New Roman" w:cs="Times New Roman"/>
          <w:lang w:eastAsia="de-DE"/>
        </w:rPr>
        <w:t>Wasser-Wasser Wärmepumpe mit Flächenheizsystem zur Wärmeübergabe, zentrale Abluftanlage</w:t>
      </w:r>
    </w:p>
    <w:p w:rsidR="00CB4B95" w:rsidRPr="00CB4B95" w:rsidRDefault="00CB4B95" w:rsidP="00CB4B95">
      <w:pPr>
        <w:numPr>
          <w:ilvl w:val="0"/>
          <w:numId w:val="3"/>
        </w:numPr>
        <w:spacing w:before="100" w:beforeAutospacing="1" w:after="100" w:afterAutospacing="1" w:line="240" w:lineRule="auto"/>
        <w:rPr>
          <w:rFonts w:ascii="Times New Roman" w:eastAsia="Times New Roman" w:hAnsi="Times New Roman" w:cs="Times New Roman"/>
          <w:lang w:eastAsia="de-DE"/>
        </w:rPr>
      </w:pPr>
      <w:r w:rsidRPr="00CB4B95">
        <w:rPr>
          <w:rFonts w:ascii="Times New Roman" w:eastAsia="Times New Roman" w:hAnsi="Times New Roman" w:cs="Times New Roman"/>
          <w:lang w:eastAsia="de-DE"/>
        </w:rPr>
        <w:t>Luft-Wasser Wärmepumpe mit Flächenheizsystem zur Wärmeübergabe, zentrale Lüftungsanlage mit Wärmerückgewinnung (Wärmebereitstellungsgrad &gt; 80 %)</w:t>
      </w:r>
    </w:p>
    <w:p w:rsidR="00CB4B95" w:rsidRPr="00CB4B95" w:rsidRDefault="00CB4B95" w:rsidP="00CB4B95">
      <w:pPr>
        <w:spacing w:before="100" w:beforeAutospacing="1" w:after="100" w:afterAutospacing="1" w:line="240" w:lineRule="auto"/>
        <w:rPr>
          <w:rFonts w:ascii="Times New Roman" w:eastAsia="Times New Roman" w:hAnsi="Times New Roman" w:cs="Times New Roman"/>
          <w:lang w:eastAsia="de-DE"/>
        </w:rPr>
      </w:pPr>
      <w:r w:rsidRPr="00CB4B95">
        <w:rPr>
          <w:rFonts w:ascii="Times New Roman" w:eastAsia="Times New Roman" w:hAnsi="Times New Roman" w:cs="Times New Roman"/>
          <w:lang w:eastAsia="de-DE"/>
        </w:rPr>
        <w:t xml:space="preserve">Eine zentrale Abluftanlage kann durch eine Lüftungsanlage mit Wärmerückgewinnung ersetzt werden. Darüber hinausgehende </w:t>
      </w:r>
      <w:r w:rsidRPr="00C87810">
        <w:rPr>
          <w:rFonts w:ascii="Times New Roman" w:eastAsia="Times New Roman" w:hAnsi="Times New Roman" w:cs="Times New Roman"/>
          <w:highlight w:val="red"/>
          <w:lang w:eastAsia="de-DE"/>
        </w:rPr>
        <w:t>Abweichungen</w:t>
      </w:r>
      <w:r w:rsidRPr="00CB4B95">
        <w:rPr>
          <w:rFonts w:ascii="Times New Roman" w:eastAsia="Times New Roman" w:hAnsi="Times New Roman" w:cs="Times New Roman"/>
          <w:lang w:eastAsia="de-DE"/>
        </w:rPr>
        <w:t xml:space="preserve"> von den genannten Anforderungen an die Bauteile und den aufgeführten Anlagenkonzepten sind für dieses Nachweisverfahren </w:t>
      </w:r>
      <w:r w:rsidRPr="00C87810">
        <w:rPr>
          <w:rFonts w:ascii="Times New Roman" w:eastAsia="Times New Roman" w:hAnsi="Times New Roman" w:cs="Times New Roman"/>
          <w:highlight w:val="red"/>
          <w:lang w:eastAsia="de-DE"/>
        </w:rPr>
        <w:t>nicht zulässig</w:t>
      </w:r>
      <w:r w:rsidRPr="00CB4B95">
        <w:rPr>
          <w:rFonts w:ascii="Times New Roman" w:eastAsia="Times New Roman" w:hAnsi="Times New Roman" w:cs="Times New Roman"/>
          <w:lang w:eastAsia="de-DE"/>
        </w:rPr>
        <w:t>. Weitere Wärmeerzeuger für Heizung oder Trinkwarmwasser sind nicht zulässig, auch nicht als ergänzender Wärmeerzeuger. Soweit sinnvoll können die Konzepte um solarthermische Anlagen (Heizungsunterstützung, Trinkwarmwasserbereitung) oder Photovoltaik-Anlagen ergänzt werden.</w:t>
      </w:r>
    </w:p>
    <w:p w:rsidR="00CB4B95" w:rsidRDefault="00CB4B95">
      <w:pPr>
        <w:rPr>
          <w:rFonts w:ascii="Times New Roman" w:eastAsia="Times New Roman" w:hAnsi="Times New Roman" w:cs="Times New Roman"/>
          <w:b/>
          <w:bCs/>
          <w:lang w:eastAsia="de-DE"/>
        </w:rPr>
      </w:pPr>
      <w:r>
        <w:rPr>
          <w:rFonts w:ascii="Times New Roman" w:eastAsia="Times New Roman" w:hAnsi="Times New Roman" w:cs="Times New Roman"/>
          <w:b/>
          <w:bCs/>
          <w:lang w:eastAsia="de-DE"/>
        </w:rPr>
        <w:br w:type="page"/>
      </w:r>
    </w:p>
    <w:p w:rsidR="00CB4B95" w:rsidRPr="00CB4B95" w:rsidRDefault="00CB4B95" w:rsidP="00CB4B95">
      <w:pPr>
        <w:spacing w:after="0" w:line="240" w:lineRule="auto"/>
        <w:outlineLvl w:val="1"/>
        <w:rPr>
          <w:rFonts w:ascii="Times New Roman" w:eastAsia="Times New Roman" w:hAnsi="Times New Roman" w:cs="Times New Roman"/>
          <w:b/>
          <w:bCs/>
          <w:lang w:eastAsia="de-DE"/>
        </w:rPr>
      </w:pPr>
      <w:r w:rsidRPr="00CB4B95">
        <w:rPr>
          <w:rFonts w:ascii="Times New Roman" w:eastAsia="Times New Roman" w:hAnsi="Times New Roman" w:cs="Times New Roman"/>
          <w:b/>
          <w:bCs/>
          <w:lang w:eastAsia="de-DE"/>
        </w:rPr>
        <w:lastRenderedPageBreak/>
        <w:t>Zusätzliche Anforderungen an ein KfW-Effizienzhaus 40 Plus</w:t>
      </w:r>
    </w:p>
    <w:p w:rsidR="00CB4B95" w:rsidRPr="00CB4B95" w:rsidRDefault="00CB4B95" w:rsidP="00CB4B95">
      <w:pPr>
        <w:spacing w:after="0" w:line="240" w:lineRule="auto"/>
        <w:rPr>
          <w:rFonts w:ascii="Times New Roman" w:eastAsia="Times New Roman" w:hAnsi="Times New Roman" w:cs="Times New Roman"/>
          <w:lang w:eastAsia="de-DE"/>
        </w:rPr>
      </w:pPr>
      <w:r w:rsidRPr="00CB4B95">
        <w:rPr>
          <w:rFonts w:ascii="Times New Roman" w:eastAsia="Times New Roman" w:hAnsi="Times New Roman" w:cs="Times New Roman"/>
          <w:lang w:eastAsia="de-DE"/>
        </w:rPr>
        <w:t>Ein KfW-Effizienzhaus 40 Plus erfüllt die Anforderungen an ein KfW-Effizienzhaus 40 und verfügt über folgendes Plus Paket:</w:t>
      </w:r>
    </w:p>
    <w:p w:rsidR="00CB4B95" w:rsidRPr="00CB4B95" w:rsidRDefault="00CB4B95" w:rsidP="00CB4B95">
      <w:pPr>
        <w:numPr>
          <w:ilvl w:val="0"/>
          <w:numId w:val="1"/>
        </w:numPr>
        <w:spacing w:after="0" w:line="240" w:lineRule="auto"/>
        <w:rPr>
          <w:rFonts w:ascii="Times New Roman" w:eastAsia="Times New Roman" w:hAnsi="Times New Roman" w:cs="Times New Roman"/>
          <w:lang w:eastAsia="de-DE"/>
        </w:rPr>
      </w:pPr>
      <w:r w:rsidRPr="00CB4B95">
        <w:rPr>
          <w:rFonts w:ascii="Times New Roman" w:eastAsia="Times New Roman" w:hAnsi="Times New Roman" w:cs="Times New Roman"/>
          <w:lang w:eastAsia="de-DE"/>
        </w:rPr>
        <w:t>Eine stromerzeugende Anlage auf Basis erneuerbarer Energien</w:t>
      </w:r>
    </w:p>
    <w:p w:rsidR="00CB4B95" w:rsidRPr="00CB4B95" w:rsidRDefault="00CB4B95" w:rsidP="00CB4B95">
      <w:pPr>
        <w:numPr>
          <w:ilvl w:val="0"/>
          <w:numId w:val="1"/>
        </w:numPr>
        <w:spacing w:after="0" w:line="240" w:lineRule="auto"/>
        <w:rPr>
          <w:rFonts w:ascii="Times New Roman" w:eastAsia="Times New Roman" w:hAnsi="Times New Roman" w:cs="Times New Roman"/>
          <w:lang w:eastAsia="de-DE"/>
        </w:rPr>
      </w:pPr>
      <w:r w:rsidRPr="00CB4B95">
        <w:rPr>
          <w:rFonts w:ascii="Times New Roman" w:eastAsia="Times New Roman" w:hAnsi="Times New Roman" w:cs="Times New Roman"/>
          <w:lang w:eastAsia="de-DE"/>
        </w:rPr>
        <w:t>Ein stationäres Batteriespeichersystem (Stromspeicher)</w:t>
      </w:r>
    </w:p>
    <w:p w:rsidR="00CB4B95" w:rsidRPr="00CB4B95" w:rsidRDefault="00CB4B95" w:rsidP="00CB4B95">
      <w:pPr>
        <w:numPr>
          <w:ilvl w:val="0"/>
          <w:numId w:val="1"/>
        </w:numPr>
        <w:spacing w:after="0" w:line="240" w:lineRule="auto"/>
        <w:rPr>
          <w:rFonts w:ascii="Times New Roman" w:eastAsia="Times New Roman" w:hAnsi="Times New Roman" w:cs="Times New Roman"/>
          <w:lang w:eastAsia="de-DE"/>
        </w:rPr>
      </w:pPr>
      <w:r w:rsidRPr="00CB4B95">
        <w:rPr>
          <w:rFonts w:ascii="Times New Roman" w:eastAsia="Times New Roman" w:hAnsi="Times New Roman" w:cs="Times New Roman"/>
          <w:lang w:eastAsia="de-DE"/>
        </w:rPr>
        <w:t>Eine Lüftungsanlage mit Wärmerückgewinnung</w:t>
      </w:r>
    </w:p>
    <w:p w:rsidR="00CB4B95" w:rsidRPr="00CB4B95" w:rsidRDefault="00CB4B95" w:rsidP="00CB4B95">
      <w:pPr>
        <w:numPr>
          <w:ilvl w:val="0"/>
          <w:numId w:val="1"/>
        </w:numPr>
        <w:spacing w:after="0" w:line="240" w:lineRule="auto"/>
        <w:rPr>
          <w:rFonts w:ascii="Times New Roman" w:eastAsia="Times New Roman" w:hAnsi="Times New Roman" w:cs="Times New Roman"/>
          <w:lang w:eastAsia="de-DE"/>
        </w:rPr>
      </w:pPr>
      <w:r w:rsidRPr="00CB4B95">
        <w:rPr>
          <w:rFonts w:ascii="Times New Roman" w:eastAsia="Times New Roman" w:hAnsi="Times New Roman" w:cs="Times New Roman"/>
          <w:lang w:eastAsia="de-DE"/>
        </w:rPr>
        <w:t>Eine Visualisierung von Stromerzeugung und Stromverbrauch über ein entsprechendes Benutzerinterface</w:t>
      </w:r>
    </w:p>
    <w:p w:rsidR="00CB4B95" w:rsidRPr="00CB4B95" w:rsidRDefault="00CB4B95" w:rsidP="00CB4B95">
      <w:pPr>
        <w:spacing w:after="0" w:line="240" w:lineRule="auto"/>
        <w:rPr>
          <w:rFonts w:ascii="Times New Roman" w:eastAsia="Times New Roman" w:hAnsi="Times New Roman" w:cs="Times New Roman"/>
          <w:lang w:eastAsia="de-DE"/>
        </w:rPr>
      </w:pPr>
      <w:r w:rsidRPr="00CB4B95">
        <w:rPr>
          <w:rFonts w:ascii="Times New Roman" w:eastAsia="Times New Roman" w:hAnsi="Times New Roman" w:cs="Times New Roman"/>
          <w:lang w:eastAsia="de-DE"/>
        </w:rPr>
        <w:t xml:space="preserve">Der in der Bilanz anrechenbare Strom aus erneuerbaren Energien muss auf dem Grundstück im unmittelbaren räumlichen Zusammenhang mit dem Gebäude oder dessen Nebenbauwerken (Garage, Carport, Schuppen etc.) erzeugt werden. Das sind z. B. </w:t>
      </w:r>
      <w:proofErr w:type="gramStart"/>
      <w:r w:rsidRPr="00CB4B95">
        <w:rPr>
          <w:rFonts w:ascii="Times New Roman" w:eastAsia="Times New Roman" w:hAnsi="Times New Roman" w:cs="Times New Roman"/>
          <w:lang w:eastAsia="de-DE"/>
        </w:rPr>
        <w:t>Strom</w:t>
      </w:r>
      <w:proofErr w:type="gramEnd"/>
      <w:r w:rsidRPr="00CB4B95">
        <w:rPr>
          <w:rFonts w:ascii="Times New Roman" w:eastAsia="Times New Roman" w:hAnsi="Times New Roman" w:cs="Times New Roman"/>
          <w:lang w:eastAsia="de-DE"/>
        </w:rPr>
        <w:t xml:space="preserve"> aus Photovoltaikanlagen oder kleinen Windkraftanlagen oder Kraft-Wärme-Kopplungsanlagen, die zu 100 % mit erneuerbaren Energien betrieben werden.</w:t>
      </w:r>
    </w:p>
    <w:p w:rsidR="00CB4B95" w:rsidRPr="00CB4B95" w:rsidRDefault="00CB4B95" w:rsidP="00CB4B95">
      <w:pPr>
        <w:spacing w:after="0" w:line="240" w:lineRule="auto"/>
        <w:rPr>
          <w:rFonts w:ascii="Times New Roman" w:eastAsia="Times New Roman" w:hAnsi="Times New Roman" w:cs="Times New Roman"/>
          <w:lang w:eastAsia="de-DE"/>
        </w:rPr>
      </w:pPr>
      <w:r w:rsidRPr="00CB4B95">
        <w:rPr>
          <w:rFonts w:ascii="Times New Roman" w:eastAsia="Times New Roman" w:hAnsi="Times New Roman" w:cs="Times New Roman"/>
          <w:lang w:eastAsia="de-DE"/>
        </w:rPr>
        <w:t>Der am Gebäude oder dessen Nebengebäuden erzeugte Strom sollte überwiegend im Gebäude selbst genutzt werden. Die Eigennutzung von Strom muss durch eine Vorrangschaltung gewährleistet sein. Zwischen Erzeugern, Speichern und Verbrauchern (Heizung, Lüftung, Beleuchtung, Haushaltsprozesse und Haushaltsgeräte) muss eine physische Verbindung bestehen. Bei netzeinspeisenden Photovoltaikanlagen ist die maximale Leistungsabgabe am Netzanschlusspunkt auf 60 % der installierten Leistung zu begrenzen.</w:t>
      </w:r>
    </w:p>
    <w:p w:rsidR="00CB4B95" w:rsidRPr="00CB4B95" w:rsidRDefault="00CB4B95" w:rsidP="00CB4B95">
      <w:pPr>
        <w:spacing w:after="0" w:line="240" w:lineRule="auto"/>
        <w:rPr>
          <w:rFonts w:ascii="Times New Roman" w:eastAsia="Times New Roman" w:hAnsi="Times New Roman" w:cs="Times New Roman"/>
          <w:lang w:eastAsia="de-DE"/>
        </w:rPr>
      </w:pPr>
      <w:r w:rsidRPr="00CB4B95">
        <w:rPr>
          <w:rFonts w:ascii="Times New Roman" w:eastAsia="Times New Roman" w:hAnsi="Times New Roman" w:cs="Times New Roman"/>
          <w:lang w:eastAsia="de-DE"/>
        </w:rPr>
        <w:t>Die Lüftungsanlage mit Wärmerückgewinnung muss einen Wärmebereitstellungsgrad von mindestens 80 % aufweisen. Die Lüftungsanlage muss in der Lage sein, die in der DIN 1946-6 genannten planmäßigen Außenluftvolumenströme (Nennlüftung) für die gesamte bilanzierte Gebäudenutzfläche sicher zu stellen. Die Lüftungsanlage muss einreguliert werden. Die Luftdichtheit der Gebäudehülle ist mit n</w:t>
      </w:r>
      <w:r w:rsidRPr="00CB4B95">
        <w:rPr>
          <w:rFonts w:ascii="Times New Roman" w:eastAsia="Times New Roman" w:hAnsi="Times New Roman" w:cs="Times New Roman"/>
          <w:vertAlign w:val="subscript"/>
          <w:lang w:eastAsia="de-DE"/>
        </w:rPr>
        <w:t>50</w:t>
      </w:r>
      <w:r w:rsidRPr="00CB4B95">
        <w:rPr>
          <w:rFonts w:ascii="Times New Roman" w:eastAsia="Times New Roman" w:hAnsi="Times New Roman" w:cs="Times New Roman"/>
          <w:lang w:eastAsia="de-DE"/>
        </w:rPr>
        <w:t xml:space="preserve"> ≤ 1,5 h</w:t>
      </w:r>
      <w:r w:rsidRPr="00CB4B95">
        <w:rPr>
          <w:rFonts w:ascii="Times New Roman" w:eastAsia="Times New Roman" w:hAnsi="Times New Roman" w:cs="Times New Roman"/>
          <w:vertAlign w:val="superscript"/>
          <w:lang w:eastAsia="de-DE"/>
        </w:rPr>
        <w:t>-1</w:t>
      </w:r>
      <w:r w:rsidRPr="00CB4B95">
        <w:rPr>
          <w:rFonts w:ascii="Times New Roman" w:eastAsia="Times New Roman" w:hAnsi="Times New Roman" w:cs="Times New Roman"/>
          <w:lang w:eastAsia="de-DE"/>
        </w:rPr>
        <w:t xml:space="preserve"> messtechnisch nachzuweisen (Empfehlung: n</w:t>
      </w:r>
      <w:r w:rsidRPr="00CB4B95">
        <w:rPr>
          <w:rFonts w:ascii="Times New Roman" w:eastAsia="Times New Roman" w:hAnsi="Times New Roman" w:cs="Times New Roman"/>
          <w:vertAlign w:val="subscript"/>
          <w:lang w:eastAsia="de-DE"/>
        </w:rPr>
        <w:t>50</w:t>
      </w:r>
      <w:r w:rsidRPr="00CB4B95">
        <w:rPr>
          <w:rFonts w:ascii="Times New Roman" w:eastAsia="Times New Roman" w:hAnsi="Times New Roman" w:cs="Times New Roman"/>
          <w:lang w:eastAsia="de-DE"/>
        </w:rPr>
        <w:t xml:space="preserve"> ≤ 0,6 h</w:t>
      </w:r>
      <w:r w:rsidRPr="00CB4B95">
        <w:rPr>
          <w:rFonts w:ascii="Times New Roman" w:eastAsia="Times New Roman" w:hAnsi="Times New Roman" w:cs="Times New Roman"/>
          <w:vertAlign w:val="superscript"/>
          <w:lang w:eastAsia="de-DE"/>
        </w:rPr>
        <w:t>-1</w:t>
      </w:r>
      <w:r w:rsidRPr="00CB4B95">
        <w:rPr>
          <w:rFonts w:ascii="Times New Roman" w:eastAsia="Times New Roman" w:hAnsi="Times New Roman" w:cs="Times New Roman"/>
          <w:lang w:eastAsia="de-DE"/>
        </w:rPr>
        <w:t>).</w:t>
      </w:r>
    </w:p>
    <w:p w:rsidR="00CB4B95" w:rsidRPr="00CB4B95" w:rsidRDefault="00CB4B95" w:rsidP="00CB4B95">
      <w:pPr>
        <w:spacing w:after="0" w:line="240" w:lineRule="auto"/>
        <w:rPr>
          <w:rFonts w:ascii="Times New Roman" w:eastAsia="Times New Roman" w:hAnsi="Times New Roman" w:cs="Times New Roman"/>
          <w:lang w:eastAsia="de-DE"/>
        </w:rPr>
      </w:pPr>
      <w:r w:rsidRPr="00CB4B95">
        <w:rPr>
          <w:rFonts w:ascii="Times New Roman" w:eastAsia="Times New Roman" w:hAnsi="Times New Roman" w:cs="Times New Roman"/>
          <w:lang w:eastAsia="de-DE"/>
        </w:rPr>
        <w:t>Der jährliche zu erzeugende Stromertrag ist in Abhängigkeit von der Anzahl der Wohneinheiten und der Gebäudenutzfläche zu bestimmen und beträgt mindestens die Summe aus 500 kWh/a je Wohneinheit und 10 kWh/(m²·a) bezogen auf die Gebäudenutzfläche. Der Stromertrag der stromerzeugenden Anlage muss nach DIN V 18599: 2011-12 und den weiteren Maßgaben des § 5 EnEV bilanziert werden.</w:t>
      </w:r>
    </w:p>
    <w:p w:rsidR="00CB4B95" w:rsidRPr="00CB4B95" w:rsidRDefault="00CB4B95" w:rsidP="00CB4B95">
      <w:pPr>
        <w:spacing w:after="0" w:line="240" w:lineRule="auto"/>
        <w:rPr>
          <w:rFonts w:ascii="Times New Roman" w:eastAsia="Times New Roman" w:hAnsi="Times New Roman" w:cs="Times New Roman"/>
          <w:lang w:eastAsia="de-DE"/>
        </w:rPr>
      </w:pPr>
      <w:r w:rsidRPr="00CB4B95">
        <w:rPr>
          <w:rFonts w:ascii="Times New Roman" w:eastAsia="Times New Roman" w:hAnsi="Times New Roman" w:cs="Times New Roman"/>
          <w:lang w:eastAsia="de-DE"/>
        </w:rPr>
        <w:t xml:space="preserve">Der Stromspeicher muss gemäß Herstellerangabe mindestens eine nutzbare Speicherkapazität aufweisen, die der Leistung der stromerzeugenden Anlage (z. B. </w:t>
      </w:r>
      <w:proofErr w:type="spellStart"/>
      <w:r w:rsidRPr="00CB4B95">
        <w:rPr>
          <w:rFonts w:ascii="Times New Roman" w:eastAsia="Times New Roman" w:hAnsi="Times New Roman" w:cs="Times New Roman"/>
          <w:lang w:eastAsia="de-DE"/>
        </w:rPr>
        <w:t>Peakleistung</w:t>
      </w:r>
      <w:proofErr w:type="spellEnd"/>
      <w:r w:rsidRPr="00CB4B95">
        <w:rPr>
          <w:rFonts w:ascii="Times New Roman" w:eastAsia="Times New Roman" w:hAnsi="Times New Roman" w:cs="Times New Roman"/>
          <w:lang w:eastAsia="de-DE"/>
        </w:rPr>
        <w:t xml:space="preserve"> </w:t>
      </w:r>
      <w:proofErr w:type="spellStart"/>
      <w:r w:rsidRPr="00CB4B95">
        <w:rPr>
          <w:rFonts w:ascii="Times New Roman" w:eastAsia="Times New Roman" w:hAnsi="Times New Roman" w:cs="Times New Roman"/>
          <w:lang w:eastAsia="de-DE"/>
        </w:rPr>
        <w:t>P</w:t>
      </w:r>
      <w:r w:rsidRPr="00CB4B95">
        <w:rPr>
          <w:rFonts w:ascii="Times New Roman" w:eastAsia="Times New Roman" w:hAnsi="Times New Roman" w:cs="Times New Roman"/>
          <w:vertAlign w:val="subscript"/>
          <w:lang w:eastAsia="de-DE"/>
        </w:rPr>
        <w:t>pk</w:t>
      </w:r>
      <w:proofErr w:type="spellEnd"/>
      <w:r w:rsidRPr="00CB4B95">
        <w:rPr>
          <w:rFonts w:ascii="Times New Roman" w:eastAsia="Times New Roman" w:hAnsi="Times New Roman" w:cs="Times New Roman"/>
          <w:lang w:eastAsia="de-DE"/>
        </w:rPr>
        <w:t xml:space="preserve"> der Photovoltaikanlage) multipliziert mit einer Stunde entspricht. Als Bemessungsgrundlage gilt dabei die Leistung, die zur Sicherstellung des geforderten Mindestertrags der stromerzeugenden Anlage für das Effizienzhaus 40 Plus erforderlich ist. Bei netzeinspeisenden, stromerzeugenden Anlagen müssen diese und der Speicher über eine geeignete und offen gelegte Schnittstelle zur Fernparametrierung und Fernsteuerung verfügen.</w:t>
      </w:r>
    </w:p>
    <w:p w:rsidR="00CB4B95" w:rsidRDefault="00CB4B95" w:rsidP="00CB4B95">
      <w:pPr>
        <w:spacing w:after="0" w:line="240" w:lineRule="auto"/>
        <w:rPr>
          <w:rFonts w:ascii="Times New Roman" w:eastAsia="Times New Roman" w:hAnsi="Times New Roman" w:cs="Times New Roman"/>
          <w:lang w:eastAsia="de-DE"/>
        </w:rPr>
      </w:pPr>
      <w:r w:rsidRPr="00CB4B95">
        <w:rPr>
          <w:rFonts w:ascii="Times New Roman" w:eastAsia="Times New Roman" w:hAnsi="Times New Roman" w:cs="Times New Roman"/>
          <w:lang w:eastAsia="de-DE"/>
        </w:rPr>
        <w:t>Die fachgerechte und sichere Inbetriebnahme ist durch eine geeignete Fachkraft zu bestätigen und ein Nachweis darüber vorzulegen (Fachunternehmererklärung). Alternativ kann die Bestätigung durch die geeignete Fachkraft auf Basis des Photovoltaik-Speicherpasses ("Speicherpass") erfolgen.</w:t>
      </w:r>
    </w:p>
    <w:p w:rsidR="00CB4B95" w:rsidRPr="00CB4B95" w:rsidRDefault="00CB4B95" w:rsidP="00CB4B95">
      <w:pPr>
        <w:spacing w:after="0" w:line="240" w:lineRule="auto"/>
        <w:rPr>
          <w:rFonts w:ascii="Times New Roman" w:eastAsia="Times New Roman" w:hAnsi="Times New Roman" w:cs="Times New Roman"/>
          <w:lang w:eastAsia="de-DE"/>
        </w:rPr>
      </w:pPr>
    </w:p>
    <w:p w:rsidR="00CB4B95" w:rsidRPr="00CB4B95" w:rsidRDefault="00CB4B95" w:rsidP="00CB4B95">
      <w:pPr>
        <w:spacing w:after="0" w:line="240" w:lineRule="auto"/>
        <w:outlineLvl w:val="1"/>
        <w:rPr>
          <w:rFonts w:ascii="Times New Roman" w:eastAsia="Times New Roman" w:hAnsi="Times New Roman" w:cs="Times New Roman"/>
          <w:b/>
          <w:bCs/>
          <w:lang w:eastAsia="de-DE"/>
        </w:rPr>
      </w:pPr>
      <w:r w:rsidRPr="00CB4B95">
        <w:rPr>
          <w:rFonts w:ascii="Times New Roman" w:eastAsia="Times New Roman" w:hAnsi="Times New Roman" w:cs="Times New Roman"/>
          <w:b/>
          <w:bCs/>
          <w:lang w:eastAsia="de-DE"/>
        </w:rPr>
        <w:t>Randbedingungen für die Berechnung zum KfW-Effizienzhaus</w:t>
      </w:r>
    </w:p>
    <w:p w:rsidR="00CB4B95" w:rsidRPr="00CB4B95" w:rsidRDefault="00CB4B95" w:rsidP="00CB4B95">
      <w:pPr>
        <w:numPr>
          <w:ilvl w:val="0"/>
          <w:numId w:val="2"/>
        </w:numPr>
        <w:spacing w:after="0" w:line="240" w:lineRule="auto"/>
        <w:rPr>
          <w:rFonts w:ascii="Times New Roman" w:eastAsia="Times New Roman" w:hAnsi="Times New Roman" w:cs="Times New Roman"/>
          <w:lang w:eastAsia="de-DE"/>
        </w:rPr>
      </w:pPr>
      <w:r w:rsidRPr="00CB4B95">
        <w:rPr>
          <w:rFonts w:ascii="Times New Roman" w:eastAsia="Times New Roman" w:hAnsi="Times New Roman" w:cs="Times New Roman"/>
          <w:lang w:eastAsia="de-DE"/>
        </w:rPr>
        <w:t>Für die Berechnung eines KfW-Effizienzhauses nach der DIN V 18599: 2011-12 sind ausschließlich die unter dem Link www.nachhaltigesbauen.de/leitfaeden-und-arbeitshilfenveroeffentlichungen/veroeffentlichungen-din-18599.html aufgeführten Softwareanwendungen sowie deren Folgeversionen zugelassen.</w:t>
      </w:r>
    </w:p>
    <w:p w:rsidR="00CB4B95" w:rsidRPr="00CB4B95" w:rsidRDefault="00CB4B95" w:rsidP="00CB4B95">
      <w:pPr>
        <w:numPr>
          <w:ilvl w:val="0"/>
          <w:numId w:val="2"/>
        </w:numPr>
        <w:spacing w:after="0" w:line="240" w:lineRule="auto"/>
        <w:rPr>
          <w:rFonts w:ascii="Times New Roman" w:eastAsia="Times New Roman" w:hAnsi="Times New Roman" w:cs="Times New Roman"/>
          <w:lang w:eastAsia="de-DE"/>
        </w:rPr>
      </w:pPr>
      <w:r w:rsidRPr="00CB4B95">
        <w:rPr>
          <w:rFonts w:ascii="Times New Roman" w:eastAsia="Times New Roman" w:hAnsi="Times New Roman" w:cs="Times New Roman"/>
          <w:lang w:eastAsia="de-DE"/>
        </w:rPr>
        <w:t>In der "Liste der Technischen FAQ" werden für die Berechnung des Referenzgebäudes weitergehende Vorgaben in Bezug auf Bauteile der Gebäudehülle und die Anlagenbewertung gemacht.</w:t>
      </w:r>
    </w:p>
    <w:p w:rsidR="00CB4B95" w:rsidRPr="00CB4B95" w:rsidRDefault="00CB4B95" w:rsidP="00CB4B95">
      <w:pPr>
        <w:numPr>
          <w:ilvl w:val="0"/>
          <w:numId w:val="2"/>
        </w:numPr>
        <w:spacing w:after="0" w:line="240" w:lineRule="auto"/>
        <w:rPr>
          <w:rFonts w:ascii="Times New Roman" w:eastAsia="Times New Roman" w:hAnsi="Times New Roman" w:cs="Times New Roman"/>
          <w:lang w:eastAsia="de-DE"/>
        </w:rPr>
      </w:pPr>
      <w:r w:rsidRPr="00CB4B95">
        <w:rPr>
          <w:rFonts w:ascii="Times New Roman" w:eastAsia="Times New Roman" w:hAnsi="Times New Roman" w:cs="Times New Roman"/>
          <w:lang w:eastAsia="de-DE"/>
        </w:rPr>
        <w:t>Werden in Wohngebäuden anlagentechnische Komponenten eingesetzt, für deren energetische Bewertung keine anerkannten Regeln der Technik oder gemäß § 9 Absatz 2 Satz 2 Halbsatz 3 EnEV bekannt gemachten gesicherten Erfahrungswerte vorliegen, so können alternativ zu Anlage 1, Nummer 2.1.3, EnEV hierfür Komponenten angesetzt werden, die gleichwertige oder schlechtere energetische Eigenschaften aufweisen.</w:t>
      </w:r>
    </w:p>
    <w:p w:rsidR="00CB4B95" w:rsidRPr="00CB4B95" w:rsidRDefault="00CB4B95" w:rsidP="00CB4B95">
      <w:pPr>
        <w:numPr>
          <w:ilvl w:val="0"/>
          <w:numId w:val="2"/>
        </w:numPr>
        <w:spacing w:after="0" w:line="240" w:lineRule="auto"/>
        <w:rPr>
          <w:rFonts w:ascii="Times New Roman" w:eastAsia="Times New Roman" w:hAnsi="Times New Roman" w:cs="Times New Roman"/>
          <w:lang w:eastAsia="de-DE"/>
        </w:rPr>
      </w:pPr>
      <w:r w:rsidRPr="00CB4B95">
        <w:rPr>
          <w:rFonts w:ascii="Times New Roman" w:eastAsia="Times New Roman" w:hAnsi="Times New Roman" w:cs="Times New Roman"/>
          <w:lang w:eastAsia="de-DE"/>
        </w:rPr>
        <w:t xml:space="preserve">Erfolgt die Wärmeversorgung über Fernwärme, ist als Primärenergiefaktor für das Wärmenetz der Tabellenwert nach DIN V 18599-1: 2011-12 anzusetzen. Die Anwendung des in der Norm beschriebenen Berechnungsverfahrens zur Bestimmung von Primärenergiefaktoren ist in </w:t>
      </w:r>
      <w:r w:rsidRPr="00CB4B95">
        <w:rPr>
          <w:rFonts w:ascii="Times New Roman" w:eastAsia="Times New Roman" w:hAnsi="Times New Roman" w:cs="Times New Roman"/>
          <w:lang w:eastAsia="de-DE"/>
        </w:rPr>
        <w:lastRenderedPageBreak/>
        <w:t>diesem Zusammenhang nicht zulässig. Alternativ kann ein Primärenergiefaktor verwendet werden, welcher nach dem AGFW-Arbeitsblatt FW-309 Teil 1 durch einen zertifizierten Gutachter bestätigt und auf der Internetseite der AGFW, Energieeffizienzverband für Wärme, Kälte und KWK e. V., veröffentlicht wurde.</w:t>
      </w:r>
    </w:p>
    <w:p w:rsidR="00CB4B95" w:rsidRPr="00CB4B95" w:rsidRDefault="00CB4B95" w:rsidP="00CB4B95">
      <w:pPr>
        <w:numPr>
          <w:ilvl w:val="0"/>
          <w:numId w:val="2"/>
        </w:numPr>
        <w:spacing w:after="0" w:line="240" w:lineRule="auto"/>
        <w:rPr>
          <w:rFonts w:ascii="Times New Roman" w:eastAsia="Times New Roman" w:hAnsi="Times New Roman" w:cs="Times New Roman"/>
          <w:lang w:eastAsia="de-DE"/>
        </w:rPr>
      </w:pPr>
      <w:r w:rsidRPr="00CB4B95">
        <w:rPr>
          <w:rFonts w:ascii="Times New Roman" w:eastAsia="Times New Roman" w:hAnsi="Times New Roman" w:cs="Times New Roman"/>
          <w:lang w:eastAsia="de-DE"/>
        </w:rPr>
        <w:t>Ist eine Zentralheizungsanlage vorhanden, können handbeschickte Einzelöfen, die nicht in das Zirkulationssystem eingebunden sind, nicht berücksichtigt werden. Bei Zentralheizungsanlagen mit eingebundenen biomassebeschickten Einzelöfen sowie automatisch beschickten Pellet-Primäröfen kann ein maximaler Deckungsanteil von 10 % des Nutzenergiebedarfs angesetzt werden.</w:t>
      </w:r>
    </w:p>
    <w:p w:rsidR="00CB4B95" w:rsidRPr="00CB4B95" w:rsidRDefault="00CB4B95" w:rsidP="00CB4B95">
      <w:pPr>
        <w:numPr>
          <w:ilvl w:val="0"/>
          <w:numId w:val="2"/>
        </w:numPr>
        <w:spacing w:after="0" w:line="240" w:lineRule="auto"/>
        <w:rPr>
          <w:rFonts w:ascii="Times New Roman" w:eastAsia="Times New Roman" w:hAnsi="Times New Roman" w:cs="Times New Roman"/>
          <w:lang w:eastAsia="de-DE"/>
        </w:rPr>
      </w:pPr>
      <w:r w:rsidRPr="00CB4B95">
        <w:rPr>
          <w:rFonts w:ascii="Times New Roman" w:eastAsia="Times New Roman" w:hAnsi="Times New Roman" w:cs="Times New Roman"/>
          <w:lang w:eastAsia="de-DE"/>
        </w:rPr>
        <w:t>Bei Berechnungen nach DIN V 4701-10 kann der Deckungsanteil einer Solaranlage für die Heizungsunterstützung ohne gesonderten Nachweis maximal 10 % betragen, wenn die Kollektorfläche den entsprechenden Anforderungen der DIN V 4701-10 genügt. Andernfalls sind die Deckungsanteile anhand einer solarthermischen Simulation für das entsprechende Gebäude unter Einhaltung der Randbedingungen für den öffentlich-rechtlichen Nachweis gemäß EnEV zu ermitteln.</w:t>
      </w:r>
    </w:p>
    <w:p w:rsidR="00CB4B95" w:rsidRPr="00CB4B95" w:rsidRDefault="00CB4B95" w:rsidP="00CB4B95">
      <w:pPr>
        <w:numPr>
          <w:ilvl w:val="0"/>
          <w:numId w:val="2"/>
        </w:numPr>
        <w:spacing w:after="0" w:line="240" w:lineRule="auto"/>
        <w:rPr>
          <w:rFonts w:ascii="Times New Roman" w:eastAsia="Times New Roman" w:hAnsi="Times New Roman" w:cs="Times New Roman"/>
          <w:lang w:eastAsia="de-DE"/>
        </w:rPr>
      </w:pPr>
      <w:r w:rsidRPr="00CB4B95">
        <w:rPr>
          <w:rFonts w:ascii="Times New Roman" w:eastAsia="Times New Roman" w:hAnsi="Times New Roman" w:cs="Times New Roman"/>
          <w:lang w:eastAsia="de-DE"/>
        </w:rPr>
        <w:t xml:space="preserve">Beim Nachweis zum KfW-Effizienzhaus kann die Regelung des § 5 EnEV zur Anrechnung von Strom aus erneuerbaren Energien angewendet werden. Der Systemleistungsfaktor </w:t>
      </w:r>
      <w:proofErr w:type="spellStart"/>
      <w:r w:rsidRPr="00CB4B95">
        <w:rPr>
          <w:rFonts w:ascii="Times New Roman" w:eastAsia="Times New Roman" w:hAnsi="Times New Roman" w:cs="Times New Roman"/>
          <w:lang w:eastAsia="de-DE"/>
        </w:rPr>
        <w:t>f</w:t>
      </w:r>
      <w:r w:rsidRPr="00CB4B95">
        <w:rPr>
          <w:rFonts w:ascii="Times New Roman" w:eastAsia="Times New Roman" w:hAnsi="Times New Roman" w:cs="Times New Roman"/>
          <w:vertAlign w:val="subscript"/>
          <w:lang w:eastAsia="de-DE"/>
        </w:rPr>
        <w:t>Perf</w:t>
      </w:r>
      <w:proofErr w:type="spellEnd"/>
      <w:r w:rsidRPr="00CB4B95">
        <w:rPr>
          <w:rFonts w:ascii="Times New Roman" w:eastAsia="Times New Roman" w:hAnsi="Times New Roman" w:cs="Times New Roman"/>
          <w:lang w:eastAsia="de-DE"/>
        </w:rPr>
        <w:t xml:space="preserve"> von Photovoltaikanlagen muss mindestens 75 % gemäß DIN V 18599-9: 2011-12 betragen.</w:t>
      </w:r>
    </w:p>
    <w:p w:rsidR="00CB4B95" w:rsidRPr="00CB4B95" w:rsidRDefault="00CB4B95" w:rsidP="00CB4B95">
      <w:pPr>
        <w:numPr>
          <w:ilvl w:val="0"/>
          <w:numId w:val="2"/>
        </w:numPr>
        <w:spacing w:after="0" w:line="240" w:lineRule="auto"/>
        <w:rPr>
          <w:rFonts w:ascii="Times New Roman" w:eastAsia="Times New Roman" w:hAnsi="Times New Roman" w:cs="Times New Roman"/>
          <w:lang w:eastAsia="de-DE"/>
        </w:rPr>
      </w:pPr>
      <w:r w:rsidRPr="00CB4B95">
        <w:rPr>
          <w:rFonts w:ascii="Times New Roman" w:eastAsia="Times New Roman" w:hAnsi="Times New Roman" w:cs="Times New Roman"/>
          <w:lang w:eastAsia="de-DE"/>
        </w:rPr>
        <w:t>Bei Berechnungen nach DIN V 4108-6 / DIN V 4701-10 ist standardmäßig die Luftwechselrate n = 0,7 h</w:t>
      </w:r>
      <w:r w:rsidRPr="00CB4B95">
        <w:rPr>
          <w:rFonts w:ascii="Times New Roman" w:eastAsia="Times New Roman" w:hAnsi="Times New Roman" w:cs="Times New Roman"/>
          <w:vertAlign w:val="superscript"/>
          <w:lang w:eastAsia="de-DE"/>
        </w:rPr>
        <w:t>-1</w:t>
      </w:r>
      <w:r w:rsidRPr="00CB4B95">
        <w:rPr>
          <w:rFonts w:ascii="Times New Roman" w:eastAsia="Times New Roman" w:hAnsi="Times New Roman" w:cs="Times New Roman"/>
          <w:lang w:eastAsia="de-DE"/>
        </w:rPr>
        <w:t xml:space="preserve"> anzusetzen. Der Ansatz eines reduzierten Luftwechsels mit n = 0,6 h</w:t>
      </w:r>
      <w:r w:rsidRPr="00CB4B95">
        <w:rPr>
          <w:rFonts w:ascii="Times New Roman" w:eastAsia="Times New Roman" w:hAnsi="Times New Roman" w:cs="Times New Roman"/>
          <w:vertAlign w:val="superscript"/>
          <w:lang w:eastAsia="de-DE"/>
        </w:rPr>
        <w:t>-1</w:t>
      </w:r>
      <w:r w:rsidRPr="00CB4B95">
        <w:rPr>
          <w:rFonts w:ascii="Times New Roman" w:eastAsia="Times New Roman" w:hAnsi="Times New Roman" w:cs="Times New Roman"/>
          <w:lang w:eastAsia="de-DE"/>
        </w:rPr>
        <w:t xml:space="preserve"> bei freier Lüftung/Fensterlüftung oder mit n = 0,6 h</w:t>
      </w:r>
      <w:r w:rsidRPr="00CB4B95">
        <w:rPr>
          <w:rFonts w:ascii="Times New Roman" w:eastAsia="Times New Roman" w:hAnsi="Times New Roman" w:cs="Times New Roman"/>
          <w:vertAlign w:val="superscript"/>
          <w:lang w:eastAsia="de-DE"/>
        </w:rPr>
        <w:t>-1</w:t>
      </w:r>
      <w:r w:rsidRPr="00CB4B95">
        <w:rPr>
          <w:rFonts w:ascii="Times New Roman" w:eastAsia="Times New Roman" w:hAnsi="Times New Roman" w:cs="Times New Roman"/>
          <w:lang w:eastAsia="de-DE"/>
        </w:rPr>
        <w:t xml:space="preserve"> bzw. 0,55 h</w:t>
      </w:r>
      <w:r w:rsidRPr="00CB4B95">
        <w:rPr>
          <w:rFonts w:ascii="Times New Roman" w:eastAsia="Times New Roman" w:hAnsi="Times New Roman" w:cs="Times New Roman"/>
          <w:vertAlign w:val="superscript"/>
          <w:lang w:eastAsia="de-DE"/>
        </w:rPr>
        <w:t>-1</w:t>
      </w:r>
      <w:r w:rsidRPr="00CB4B95">
        <w:rPr>
          <w:rFonts w:ascii="Times New Roman" w:eastAsia="Times New Roman" w:hAnsi="Times New Roman" w:cs="Times New Roman"/>
          <w:lang w:eastAsia="de-DE"/>
        </w:rPr>
        <w:t xml:space="preserve"> bei Gebäuden mit Lüftungsanlage kann nur verwendet werden, wenn auch nach Abschluss des Bauvorhabens die nach Anlage 4 EnEV erforderliche Luftdichtheit des Gebäudes mit einer Luftdichtheitsmessung nachgewiesen wird. In diesem Fall muss auf die Luftdichtheit von der Planung an bis zur Bauausführung besonders geachtet werden.</w:t>
      </w:r>
    </w:p>
    <w:p w:rsidR="00CB4B95" w:rsidRPr="00CB4B95" w:rsidRDefault="00CB4B95" w:rsidP="00CB4B95">
      <w:pPr>
        <w:numPr>
          <w:ilvl w:val="0"/>
          <w:numId w:val="2"/>
        </w:numPr>
        <w:spacing w:after="0" w:line="240" w:lineRule="auto"/>
        <w:rPr>
          <w:rFonts w:ascii="Times New Roman" w:eastAsia="Times New Roman" w:hAnsi="Times New Roman" w:cs="Times New Roman"/>
          <w:lang w:eastAsia="de-DE"/>
        </w:rPr>
      </w:pPr>
      <w:r w:rsidRPr="00CB4B95">
        <w:rPr>
          <w:rFonts w:ascii="Times New Roman" w:eastAsia="Times New Roman" w:hAnsi="Times New Roman" w:cs="Times New Roman"/>
          <w:lang w:eastAsia="de-DE"/>
        </w:rPr>
        <w:t>Für den Wärmebrückenzuschlag sind ausschließlich die Maßgaben des § 7 Absatz 2 EnEV einzuhalten, d. h. der Einfluss konstruktiver Wärmebrücken auf den Jahres-Heizwärmebedarf ist nach den Regeln der Technik und den im jeweiligen Einzelfall wirtschaftlich vertretbaren Maßnahmen so gering wie möglich zu halten. Der verbleibende Einfluss ist zu berücksichtigen.</w:t>
      </w:r>
    </w:p>
    <w:p w:rsidR="00CB4B95" w:rsidRPr="00CB4B95" w:rsidRDefault="00CB4B95" w:rsidP="00CB4B95">
      <w:pPr>
        <w:numPr>
          <w:ilvl w:val="0"/>
          <w:numId w:val="2"/>
        </w:numPr>
        <w:spacing w:after="0" w:line="240" w:lineRule="auto"/>
        <w:rPr>
          <w:rFonts w:ascii="Times New Roman" w:eastAsia="Times New Roman" w:hAnsi="Times New Roman" w:cs="Times New Roman"/>
          <w:lang w:eastAsia="de-DE"/>
        </w:rPr>
      </w:pPr>
      <w:r w:rsidRPr="00CB4B95">
        <w:rPr>
          <w:rFonts w:ascii="Times New Roman" w:eastAsia="Times New Roman" w:hAnsi="Times New Roman" w:cs="Times New Roman"/>
          <w:lang w:eastAsia="de-DE"/>
        </w:rPr>
        <w:t>Wird ein Wärmebrückenzuschlag Δ UWB &lt; 0,10 W/(m²·K) angesetzt, ist dieser gesondert nach den Regeln der Technik zu berechnen bzw. nachzuweisen. § 7 Absatz 3 EnEV ist nicht anwendbar. Die Erstellung eines Gleichwertigkeitsnachweises ist bei der Verwendung des pauschalen Wärmebrückenzuschlags von Δ UWB = 0,05 W/(m²·K) stets erforderlich. Zusätzlich können die in dem Infoblatt "KfW-Wärmebrückenbewertung" beschriebenen Verfahren "Erweiterter Gleichwertigkeitsnachweis" und "KfW-Wärmebrückenkurzverfahren" angewendet werden</w:t>
      </w:r>
    </w:p>
    <w:p w:rsidR="00291B4B" w:rsidRPr="00CB4B95" w:rsidRDefault="00291B4B" w:rsidP="00CB4B95">
      <w:pPr>
        <w:spacing w:after="0"/>
      </w:pPr>
    </w:p>
    <w:sectPr w:rsidR="00291B4B" w:rsidRPr="00CB4B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A71F4"/>
    <w:multiLevelType w:val="multilevel"/>
    <w:tmpl w:val="E5EE8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5B6884"/>
    <w:multiLevelType w:val="multilevel"/>
    <w:tmpl w:val="CCE4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232DAE"/>
    <w:multiLevelType w:val="multilevel"/>
    <w:tmpl w:val="63563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95"/>
    <w:rsid w:val="00291B4B"/>
    <w:rsid w:val="0098049B"/>
    <w:rsid w:val="00A16871"/>
    <w:rsid w:val="00C87810"/>
    <w:rsid w:val="00CB4B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CC561-DEB7-4FDC-9A79-2CE55F17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CB4B9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B4B95"/>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CB4B9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br">
    <w:name w:val="nobr"/>
    <w:basedOn w:val="Absatz-Standardschriftart"/>
    <w:rsid w:val="00CB4B95"/>
  </w:style>
  <w:style w:type="paragraph" w:styleId="Sprechblasentext">
    <w:name w:val="Balloon Text"/>
    <w:basedOn w:val="Standard"/>
    <w:link w:val="SprechblasentextZchn"/>
    <w:uiPriority w:val="99"/>
    <w:semiHidden/>
    <w:unhideWhenUsed/>
    <w:rsid w:val="00CB4B9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4B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551017">
      <w:bodyDiv w:val="1"/>
      <w:marLeft w:val="0"/>
      <w:marRight w:val="0"/>
      <w:marTop w:val="0"/>
      <w:marBottom w:val="0"/>
      <w:divBdr>
        <w:top w:val="none" w:sz="0" w:space="0" w:color="auto"/>
        <w:left w:val="none" w:sz="0" w:space="0" w:color="auto"/>
        <w:bottom w:val="none" w:sz="0" w:space="0" w:color="auto"/>
        <w:right w:val="none" w:sz="0" w:space="0" w:color="auto"/>
      </w:divBdr>
    </w:div>
    <w:div w:id="655113311">
      <w:bodyDiv w:val="1"/>
      <w:marLeft w:val="0"/>
      <w:marRight w:val="0"/>
      <w:marTop w:val="0"/>
      <w:marBottom w:val="0"/>
      <w:divBdr>
        <w:top w:val="none" w:sz="0" w:space="0" w:color="auto"/>
        <w:left w:val="none" w:sz="0" w:space="0" w:color="auto"/>
        <w:bottom w:val="none" w:sz="0" w:space="0" w:color="auto"/>
        <w:right w:val="none" w:sz="0" w:space="0" w:color="auto"/>
      </w:divBdr>
    </w:div>
    <w:div w:id="1215582007">
      <w:bodyDiv w:val="1"/>
      <w:marLeft w:val="0"/>
      <w:marRight w:val="0"/>
      <w:marTop w:val="0"/>
      <w:marBottom w:val="0"/>
      <w:divBdr>
        <w:top w:val="none" w:sz="0" w:space="0" w:color="auto"/>
        <w:left w:val="none" w:sz="0" w:space="0" w:color="auto"/>
        <w:bottom w:val="none" w:sz="0" w:space="0" w:color="auto"/>
        <w:right w:val="none" w:sz="0" w:space="0" w:color="auto"/>
      </w:divBdr>
    </w:div>
    <w:div w:id="1620212828">
      <w:bodyDiv w:val="1"/>
      <w:marLeft w:val="0"/>
      <w:marRight w:val="0"/>
      <w:marTop w:val="0"/>
      <w:marBottom w:val="0"/>
      <w:divBdr>
        <w:top w:val="none" w:sz="0" w:space="0" w:color="auto"/>
        <w:left w:val="none" w:sz="0" w:space="0" w:color="auto"/>
        <w:bottom w:val="none" w:sz="0" w:space="0" w:color="auto"/>
        <w:right w:val="none" w:sz="0" w:space="0" w:color="auto"/>
      </w:divBdr>
    </w:div>
    <w:div w:id="164484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Arbeitsblatt1.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1337</Words>
  <Characters>8427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buero Peters</dc:creator>
  <cp:keywords/>
  <dc:description/>
  <cp:lastModifiedBy>ing buero Peters</cp:lastModifiedBy>
  <cp:revision>2</cp:revision>
  <cp:lastPrinted>2016-07-12T07:58:00Z</cp:lastPrinted>
  <dcterms:created xsi:type="dcterms:W3CDTF">2016-07-17T10:38:00Z</dcterms:created>
  <dcterms:modified xsi:type="dcterms:W3CDTF">2016-07-17T10:38:00Z</dcterms:modified>
</cp:coreProperties>
</file>